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67C4" w14:textId="77777777" w:rsidR="00D428B4" w:rsidRDefault="00D428B4" w:rsidP="008C6531">
      <w:pPr>
        <w:pStyle w:val="Heading2"/>
        <w:spacing w:line="244" w:lineRule="exact"/>
        <w:rPr>
          <w:sz w:val="12"/>
          <w:szCs w:val="12"/>
        </w:rPr>
      </w:pPr>
    </w:p>
    <w:p w14:paraId="6FB4C20A" w14:textId="77777777" w:rsidR="003C5075" w:rsidRDefault="003C5075" w:rsidP="00EB11D3">
      <w:pPr>
        <w:pStyle w:val="Heading2"/>
        <w:spacing w:line="244" w:lineRule="exact"/>
        <w:ind w:left="0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65E8A3B4" w14:textId="28DD2521" w:rsidR="00EB11D3" w:rsidRPr="00EB11D3" w:rsidRDefault="00EB11D3" w:rsidP="00EB11D3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6"/>
        </w:rPr>
      </w:pPr>
      <w:r w:rsidRPr="00EB11D3">
        <w:rPr>
          <w:rFonts w:ascii="Century Gothic" w:hAnsi="Century Gothic"/>
          <w:b/>
          <w:bCs/>
          <w:color w:val="231F20"/>
          <w:sz w:val="24"/>
          <w:szCs w:val="24"/>
        </w:rPr>
        <w:t>42670 Master of Economics</w:t>
      </w:r>
      <w:r w:rsidR="007C315F" w:rsidRPr="00765432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="008C6531"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  <w:r>
        <w:rPr>
          <w:rFonts w:ascii="Century Gothic" w:hAnsi="Century Gothic"/>
          <w:b/>
          <w:bCs/>
          <w:color w:val="231F20"/>
          <w:sz w:val="24"/>
          <w:szCs w:val="26"/>
        </w:rPr>
        <w:t xml:space="preserve"> - </w:t>
      </w:r>
      <w:r w:rsidRPr="00EB11D3">
        <w:rPr>
          <w:rFonts w:ascii="Century Gothic" w:hAnsi="Century Gothic"/>
          <w:b/>
          <w:bCs/>
          <w:color w:val="231F20"/>
          <w:sz w:val="24"/>
          <w:szCs w:val="26"/>
        </w:rPr>
        <w:t>Coursework and Dissertation</w:t>
      </w:r>
    </w:p>
    <w:p w14:paraId="4E3C12E5" w14:textId="5F596EEF" w:rsidR="00EB11D3" w:rsidRPr="0025775A" w:rsidRDefault="008C6531" w:rsidP="00EB11D3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087A3D">
        <w:rPr>
          <w:bCs/>
          <w:color w:val="231F20"/>
        </w:rPr>
        <w:t>2</w:t>
      </w:r>
      <w:r>
        <w:rPr>
          <w:b/>
          <w:bCs/>
          <w:color w:val="231F20"/>
        </w:rPr>
        <w:br/>
      </w:r>
      <w:r w:rsidR="00EB11D3" w:rsidRPr="00F60555">
        <w:rPr>
          <w:color w:val="231F20"/>
          <w:shd w:val="clear" w:color="auto" w:fill="ECF2D7" w:themeFill="accent6" w:themeFillTint="33"/>
        </w:rPr>
        <w:t xml:space="preserve">    </w:t>
      </w:r>
      <w:r w:rsidR="00EB11D3">
        <w:rPr>
          <w:color w:val="231F20"/>
        </w:rPr>
        <w:t xml:space="preserve"> </w:t>
      </w:r>
      <w:r w:rsidR="00EB11D3" w:rsidRPr="008368FE">
        <w:rPr>
          <w:color w:val="231F20"/>
        </w:rPr>
        <w:t>Core units</w:t>
      </w:r>
      <w:r w:rsidR="00EB11D3">
        <w:rPr>
          <w:color w:val="231F20"/>
        </w:rPr>
        <w:t xml:space="preserve"> </w:t>
      </w:r>
    </w:p>
    <w:p w14:paraId="71ADB374" w14:textId="77777777" w:rsidR="00EB11D3" w:rsidRDefault="00EB11D3" w:rsidP="00EB11D3">
      <w:pPr>
        <w:pStyle w:val="Heading2"/>
        <w:spacing w:line="244" w:lineRule="exact"/>
        <w:rPr>
          <w:color w:val="231F20"/>
        </w:rPr>
      </w:pPr>
      <w:r w:rsidRPr="00F60555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Specialisation 1 (</w:t>
      </w:r>
      <w:r w:rsidRPr="00F60555">
        <w:rPr>
          <w:color w:val="231F20"/>
        </w:rPr>
        <w:t>Research Dissertation</w:t>
      </w:r>
      <w:r>
        <w:rPr>
          <w:color w:val="231F20"/>
        </w:rPr>
        <w:t>)</w:t>
      </w:r>
    </w:p>
    <w:p w14:paraId="2FCA684C" w14:textId="77777777" w:rsidR="00EB11D3" w:rsidRDefault="00EB11D3" w:rsidP="00EB11D3">
      <w:pPr>
        <w:pStyle w:val="Heading2"/>
        <w:spacing w:line="244" w:lineRule="exact"/>
        <w:rPr>
          <w:color w:val="231F20"/>
        </w:rPr>
      </w:pPr>
      <w:r w:rsidRPr="00F60555">
        <w:rPr>
          <w:color w:val="231F20"/>
          <w:shd w:val="clear" w:color="auto" w:fill="FBDACD" w:themeFill="accent2" w:themeFillTint="33"/>
        </w:rPr>
        <w:t xml:space="preserve">    </w:t>
      </w:r>
      <w:r>
        <w:rPr>
          <w:color w:val="231F20"/>
        </w:rPr>
        <w:t xml:space="preserve"> Specialisation 2</w:t>
      </w:r>
    </w:p>
    <w:p w14:paraId="030FE888" w14:textId="77777777" w:rsidR="00EB11D3" w:rsidRDefault="00EB11D3" w:rsidP="00EB11D3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4675FF8B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991489" w14:paraId="217BB2D9" w14:textId="77777777" w:rsidTr="00EB11D3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37D94C77" w14:textId="77777777" w:rsidR="00991489" w:rsidRPr="00983B47" w:rsidRDefault="00991489" w:rsidP="00C82AF7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26574A52" w14:textId="77777777" w:rsidR="00991489" w:rsidRDefault="00991489" w:rsidP="00C82AF7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7078A519" w14:textId="09BF1769" w:rsidR="00991489" w:rsidRPr="00EE78D6" w:rsidRDefault="00EB11D3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65C74CA6" w14:textId="15758180" w:rsidR="00991489" w:rsidRPr="00EE78D6" w:rsidRDefault="00EB11D3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5275358D" w14:textId="2521FF8C" w:rsidR="00991489" w:rsidRPr="008B159E" w:rsidRDefault="00EB11D3" w:rsidP="00EB11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54F04B0A" w14:textId="31646109" w:rsidR="00991489" w:rsidRPr="008B159E" w:rsidRDefault="00EB11D3" w:rsidP="00840F89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</w:tr>
      <w:tr w:rsidR="00EB11D3" w14:paraId="37737AA3" w14:textId="77777777" w:rsidTr="006F1067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2188FE1C" w14:textId="77777777" w:rsidR="00EB11D3" w:rsidRDefault="00EB11D3" w:rsidP="00EB11D3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1F893265" w14:textId="77777777" w:rsidR="00EB11D3" w:rsidRDefault="00EB11D3" w:rsidP="00EB11D3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6D5F0556" w14:textId="77777777" w:rsidR="00EB11D3" w:rsidRDefault="00EB11D3" w:rsidP="00EB11D3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715C9A5E" w14:textId="77777777" w:rsidR="00EB11D3" w:rsidRPr="00983B47" w:rsidRDefault="00EB11D3" w:rsidP="00EB11D3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089AF82C" w14:textId="77777777" w:rsidR="00EB11D3" w:rsidRDefault="00EB11D3" w:rsidP="00EB11D3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96B613F" w14:textId="77777777" w:rsidR="00EB11D3" w:rsidRPr="004E2BF2" w:rsidRDefault="00EB11D3" w:rsidP="00EB11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ECON4402</w:t>
            </w:r>
          </w:p>
          <w:p w14:paraId="7E781506" w14:textId="577E94D6" w:rsidR="00EB11D3" w:rsidRPr="00EE78D6" w:rsidRDefault="00EB11D3" w:rsidP="00EB11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Microeconomic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A210BC0" w14:textId="77777777" w:rsidR="00EB11D3" w:rsidRPr="004E2BF2" w:rsidRDefault="00EB11D3" w:rsidP="00EB11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ECON4413</w:t>
            </w:r>
          </w:p>
          <w:p w14:paraId="1B18EEC0" w14:textId="70CCB092" w:rsidR="00EB11D3" w:rsidRPr="00EE78D6" w:rsidRDefault="00EB11D3" w:rsidP="00EB11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Applied Advanced Econometrics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79EB97C" w14:textId="77777777" w:rsidR="00EB11D3" w:rsidRPr="004E2BF2" w:rsidRDefault="00EB11D3" w:rsidP="00EB11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ECON4418</w:t>
            </w:r>
          </w:p>
          <w:p w14:paraId="65AC8478" w14:textId="1F3ED258" w:rsidR="00EB11D3" w:rsidRPr="00EE78D6" w:rsidRDefault="00EB11D3" w:rsidP="00EB11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FBDACD" w:themeFill="accent2" w:themeFillTint="33"/>
            <w:vAlign w:val="center"/>
          </w:tcPr>
          <w:p w14:paraId="372F94FD" w14:textId="441899D8" w:rsidR="00EB11D3" w:rsidRPr="008B159E" w:rsidRDefault="006F1067" w:rsidP="00EB11D3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</w:tr>
      <w:tr w:rsidR="00EB11D3" w14:paraId="45CE5B94" w14:textId="77777777" w:rsidTr="006F1067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434990D" w14:textId="77777777" w:rsidR="00EB11D3" w:rsidRDefault="00EB11D3" w:rsidP="00EB11D3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0E07FC2" w14:textId="77777777" w:rsidR="00EB11D3" w:rsidRDefault="00EB11D3" w:rsidP="00EB11D3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ED2CBCE" w14:textId="77777777" w:rsidR="006F1067" w:rsidRPr="004E2BF2" w:rsidRDefault="006F1067" w:rsidP="006F10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ECON5881*</w:t>
            </w:r>
          </w:p>
          <w:p w14:paraId="315128E0" w14:textId="77E1A3F4" w:rsidR="00EB11D3" w:rsidRPr="00765432" w:rsidRDefault="006F1067" w:rsidP="006F106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297B203" w14:textId="77777777" w:rsidR="006F1067" w:rsidRPr="004E2BF2" w:rsidRDefault="006F1067" w:rsidP="006F10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ECON5882</w:t>
            </w:r>
          </w:p>
          <w:p w14:paraId="57F7EEF7" w14:textId="2094FB94" w:rsidR="00EB11D3" w:rsidRPr="00765432" w:rsidRDefault="006F1067" w:rsidP="006F106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B1B975D" w14:textId="77777777" w:rsidR="006F1067" w:rsidRPr="004E2BF2" w:rsidRDefault="006F1067" w:rsidP="006F10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ECON5883</w:t>
            </w:r>
          </w:p>
          <w:p w14:paraId="127C0D8F" w14:textId="3C8A939E" w:rsidR="00EB11D3" w:rsidRPr="00765432" w:rsidRDefault="006F1067" w:rsidP="006F106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45AE3568" w14:textId="77777777" w:rsidR="006F1067" w:rsidRPr="004E2BF2" w:rsidRDefault="006F1067" w:rsidP="006F106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ECON5884</w:t>
            </w:r>
          </w:p>
          <w:p w14:paraId="52C76083" w14:textId="4743C2B7" w:rsidR="00EB11D3" w:rsidRPr="00765432" w:rsidRDefault="006F1067" w:rsidP="006F106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4</w:t>
            </w:r>
          </w:p>
        </w:tc>
      </w:tr>
    </w:tbl>
    <w:p w14:paraId="189C1C60" w14:textId="77777777" w:rsidR="00991489" w:rsidRDefault="00991489" w:rsidP="008C6531">
      <w:pPr>
        <w:pStyle w:val="BodyText"/>
        <w:spacing w:before="11"/>
        <w:rPr>
          <w:sz w:val="16"/>
        </w:rPr>
      </w:pPr>
    </w:p>
    <w:p w14:paraId="4A0D9881" w14:textId="77777777" w:rsidR="00EB11D3" w:rsidRPr="00EB11D3" w:rsidRDefault="00EB11D3" w:rsidP="00EB11D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EB11D3">
        <w:rPr>
          <w:b/>
          <w:bCs/>
          <w:sz w:val="18"/>
          <w:szCs w:val="18"/>
          <w:u w:val="single"/>
        </w:rPr>
        <w:t>THIS IS A GENERIC STUDY PLAN AND SHOULD BE USED AS A GUIDE ONLY:</w:t>
      </w:r>
      <w:r w:rsidRPr="00EB11D3">
        <w:rPr>
          <w:sz w:val="18"/>
          <w:szCs w:val="18"/>
        </w:rPr>
        <w:t xml:space="preserve"> </w:t>
      </w:r>
    </w:p>
    <w:p w14:paraId="06A06F19" w14:textId="46010F09" w:rsidR="00EB11D3" w:rsidRPr="00EB11D3" w:rsidRDefault="00EB11D3" w:rsidP="00EB11D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EB11D3">
        <w:rPr>
          <w:b/>
          <w:bCs/>
          <w:sz w:val="18"/>
          <w:szCs w:val="18"/>
        </w:rPr>
        <w:t xml:space="preserve">For </w:t>
      </w:r>
      <w:proofErr w:type="spellStart"/>
      <w:r w:rsidRPr="00EB11D3">
        <w:rPr>
          <w:b/>
          <w:bCs/>
          <w:sz w:val="18"/>
          <w:szCs w:val="18"/>
        </w:rPr>
        <w:t>individualised</w:t>
      </w:r>
      <w:proofErr w:type="spellEnd"/>
      <w:r w:rsidRPr="00EB11D3">
        <w:rPr>
          <w:b/>
          <w:bCs/>
          <w:sz w:val="18"/>
          <w:szCs w:val="18"/>
        </w:rPr>
        <w:t xml:space="preserve"> course advice, please contact the Business School Student Advising </w:t>
      </w:r>
      <w:proofErr w:type="spellStart"/>
      <w:r w:rsidRPr="00EB11D3">
        <w:rPr>
          <w:b/>
          <w:bCs/>
          <w:sz w:val="18"/>
          <w:szCs w:val="18"/>
        </w:rPr>
        <w:t>Office.Note</w:t>
      </w:r>
      <w:proofErr w:type="spellEnd"/>
      <w:r w:rsidRPr="00EB11D3">
        <w:rPr>
          <w:b/>
          <w:bCs/>
          <w:sz w:val="18"/>
          <w:szCs w:val="18"/>
        </w:rPr>
        <w:t xml:space="preserve">: </w:t>
      </w:r>
      <w:r w:rsidRPr="00EB11D3">
        <w:rPr>
          <w:sz w:val="18"/>
          <w:szCs w:val="18"/>
        </w:rPr>
        <w:t>Applications for the Research Dissertation Specialisation must be submitted in the year prior to commencement (e.g. December 2024 for a 2025 commencement). Entry into the Research Dissertation Specialisation is not guaranteed.</w:t>
      </w:r>
      <w:r w:rsidR="00D16826">
        <w:rPr>
          <w:sz w:val="18"/>
          <w:szCs w:val="18"/>
        </w:rPr>
        <w:t xml:space="preserve"> Please see course rules for more information. </w:t>
      </w:r>
    </w:p>
    <w:p w14:paraId="53D2CA94" w14:textId="77777777" w:rsidR="00EB11D3" w:rsidRPr="00EB11D3" w:rsidRDefault="00EB11D3" w:rsidP="00EB11D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proofErr w:type="spellStart"/>
      <w:r w:rsidRPr="00EB11D3">
        <w:rPr>
          <w:b/>
          <w:bCs/>
          <w:sz w:val="18"/>
          <w:szCs w:val="18"/>
        </w:rPr>
        <w:t>Specialisations</w:t>
      </w:r>
      <w:proofErr w:type="spellEnd"/>
      <w:r w:rsidRPr="00EB11D3">
        <w:rPr>
          <w:b/>
          <w:bCs/>
          <w:sz w:val="18"/>
          <w:szCs w:val="18"/>
        </w:rPr>
        <w:t>:</w:t>
      </w:r>
    </w:p>
    <w:p w14:paraId="58B267F4" w14:textId="77777777" w:rsidR="00EB11D3" w:rsidRPr="00EB11D3" w:rsidRDefault="00EB11D3" w:rsidP="00EB11D3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>* Research Dissertation Specialisation – Group D</w:t>
      </w:r>
    </w:p>
    <w:p w14:paraId="4F4AF3D3" w14:textId="77777777" w:rsidR="00EB11D3" w:rsidRPr="00EB11D3" w:rsidRDefault="00EB11D3" w:rsidP="00EB11D3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 xml:space="preserve">Applied Economics – Group B &amp; C </w:t>
      </w:r>
    </w:p>
    <w:p w14:paraId="0978CCFB" w14:textId="77777777" w:rsidR="00EB11D3" w:rsidRPr="00EB11D3" w:rsidRDefault="00EB11D3" w:rsidP="00EB11D3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>Environmental Economics – Group E</w:t>
      </w:r>
    </w:p>
    <w:p w14:paraId="7A5C7F2A" w14:textId="77777777" w:rsidR="00EB11D3" w:rsidRPr="00EB11D3" w:rsidRDefault="00EB11D3" w:rsidP="00EB11D3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>Financial Economics – Group F</w:t>
      </w:r>
    </w:p>
    <w:p w14:paraId="4987611F" w14:textId="77777777" w:rsidR="00EB11D3" w:rsidRPr="00EB11D3" w:rsidRDefault="00EB11D3" w:rsidP="00EB11D3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>Health Economics – Group G &amp; H</w:t>
      </w:r>
    </w:p>
    <w:p w14:paraId="69A5CDA2" w14:textId="77777777" w:rsidR="00EB11D3" w:rsidRPr="00EB11D3" w:rsidRDefault="00EB11D3" w:rsidP="00EB11D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>Notes</w:t>
      </w:r>
    </w:p>
    <w:p w14:paraId="18CEA4DC" w14:textId="77777777" w:rsidR="00EB11D3" w:rsidRPr="00EB11D3" w:rsidRDefault="00EB11D3" w:rsidP="00EB11D3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EB11D3">
        <w:rPr>
          <w:sz w:val="18"/>
          <w:szCs w:val="18"/>
        </w:rPr>
        <w:t>Information</w:t>
      </w:r>
      <w:r w:rsidRPr="00EB11D3">
        <w:rPr>
          <w:spacing w:val="-5"/>
          <w:sz w:val="18"/>
          <w:szCs w:val="18"/>
        </w:rPr>
        <w:t xml:space="preserve"> </w:t>
      </w:r>
      <w:r w:rsidRPr="00EB11D3">
        <w:rPr>
          <w:sz w:val="18"/>
          <w:szCs w:val="18"/>
        </w:rPr>
        <w:t>about</w:t>
      </w:r>
      <w:r w:rsidRPr="00EB11D3">
        <w:rPr>
          <w:spacing w:val="-5"/>
          <w:sz w:val="18"/>
          <w:szCs w:val="18"/>
        </w:rPr>
        <w:t xml:space="preserve"> </w:t>
      </w:r>
      <w:r w:rsidRPr="00EB11D3">
        <w:rPr>
          <w:sz w:val="18"/>
          <w:szCs w:val="18"/>
        </w:rPr>
        <w:t>unit</w:t>
      </w:r>
      <w:r w:rsidRPr="00EB11D3">
        <w:rPr>
          <w:spacing w:val="-6"/>
          <w:sz w:val="18"/>
          <w:szCs w:val="18"/>
        </w:rPr>
        <w:t xml:space="preserve"> </w:t>
      </w:r>
      <w:r w:rsidRPr="00EB11D3">
        <w:rPr>
          <w:sz w:val="18"/>
          <w:szCs w:val="18"/>
        </w:rPr>
        <w:t>availability</w:t>
      </w:r>
      <w:r w:rsidRPr="00EB11D3">
        <w:rPr>
          <w:spacing w:val="-5"/>
          <w:sz w:val="18"/>
          <w:szCs w:val="18"/>
        </w:rPr>
        <w:t xml:space="preserve"> </w:t>
      </w:r>
      <w:r w:rsidRPr="00EB11D3">
        <w:rPr>
          <w:sz w:val="18"/>
          <w:szCs w:val="18"/>
        </w:rPr>
        <w:t>should</w:t>
      </w:r>
      <w:r w:rsidRPr="00EB11D3">
        <w:rPr>
          <w:spacing w:val="-3"/>
          <w:sz w:val="18"/>
          <w:szCs w:val="18"/>
        </w:rPr>
        <w:t xml:space="preserve"> </w:t>
      </w:r>
      <w:r w:rsidRPr="00EB11D3">
        <w:rPr>
          <w:sz w:val="18"/>
          <w:szCs w:val="18"/>
        </w:rPr>
        <w:t>be</w:t>
      </w:r>
      <w:r w:rsidRPr="00EB11D3">
        <w:rPr>
          <w:spacing w:val="-4"/>
          <w:sz w:val="18"/>
          <w:szCs w:val="18"/>
        </w:rPr>
        <w:t xml:space="preserve"> </w:t>
      </w:r>
      <w:r w:rsidRPr="00EB11D3">
        <w:rPr>
          <w:sz w:val="18"/>
          <w:szCs w:val="18"/>
        </w:rPr>
        <w:t>checked</w:t>
      </w:r>
      <w:r w:rsidRPr="00EB11D3">
        <w:rPr>
          <w:spacing w:val="-4"/>
          <w:sz w:val="18"/>
          <w:szCs w:val="18"/>
        </w:rPr>
        <w:t xml:space="preserve"> </w:t>
      </w:r>
      <w:r w:rsidRPr="00EB11D3">
        <w:rPr>
          <w:sz w:val="18"/>
          <w:szCs w:val="18"/>
        </w:rPr>
        <w:t>at</w:t>
      </w:r>
      <w:r w:rsidRPr="00EB11D3">
        <w:rPr>
          <w:spacing w:val="-3"/>
          <w:sz w:val="18"/>
          <w:szCs w:val="18"/>
        </w:rPr>
        <w:t xml:space="preserve"> </w:t>
      </w:r>
      <w:r w:rsidRPr="00EB11D3">
        <w:rPr>
          <w:sz w:val="18"/>
          <w:szCs w:val="18"/>
        </w:rPr>
        <w:t>the</w:t>
      </w:r>
      <w:r w:rsidRPr="00EB11D3">
        <w:rPr>
          <w:spacing w:val="-1"/>
          <w:sz w:val="18"/>
          <w:szCs w:val="18"/>
        </w:rPr>
        <w:t xml:space="preserve"> </w:t>
      </w:r>
      <w:r w:rsidRPr="00EB11D3">
        <w:rPr>
          <w:sz w:val="18"/>
          <w:szCs w:val="18"/>
        </w:rPr>
        <w:t>beginning</w:t>
      </w:r>
      <w:r w:rsidRPr="00EB11D3">
        <w:rPr>
          <w:spacing w:val="-2"/>
          <w:sz w:val="18"/>
          <w:szCs w:val="18"/>
        </w:rPr>
        <w:t xml:space="preserve"> </w:t>
      </w:r>
      <w:r w:rsidRPr="00EB11D3">
        <w:rPr>
          <w:sz w:val="18"/>
          <w:szCs w:val="18"/>
        </w:rPr>
        <w:t>of</w:t>
      </w:r>
      <w:r w:rsidRPr="00EB11D3">
        <w:rPr>
          <w:spacing w:val="-4"/>
          <w:sz w:val="18"/>
          <w:szCs w:val="18"/>
        </w:rPr>
        <w:t xml:space="preserve"> </w:t>
      </w:r>
      <w:r w:rsidRPr="00EB11D3">
        <w:rPr>
          <w:sz w:val="18"/>
          <w:szCs w:val="18"/>
        </w:rPr>
        <w:t>each</w:t>
      </w:r>
      <w:r w:rsidRPr="00EB11D3">
        <w:rPr>
          <w:spacing w:val="-3"/>
          <w:sz w:val="18"/>
          <w:szCs w:val="18"/>
        </w:rPr>
        <w:t xml:space="preserve"> </w:t>
      </w:r>
      <w:r w:rsidRPr="00EB11D3">
        <w:rPr>
          <w:sz w:val="18"/>
          <w:szCs w:val="18"/>
        </w:rPr>
        <w:t>semester</w:t>
      </w:r>
      <w:r w:rsidRPr="00EB11D3">
        <w:rPr>
          <w:spacing w:val="-3"/>
          <w:sz w:val="18"/>
          <w:szCs w:val="18"/>
        </w:rPr>
        <w:t xml:space="preserve"> </w:t>
      </w:r>
      <w:r w:rsidRPr="00EB11D3">
        <w:rPr>
          <w:sz w:val="18"/>
          <w:szCs w:val="18"/>
        </w:rPr>
        <w:t>and</w:t>
      </w:r>
      <w:r w:rsidRPr="00EB11D3">
        <w:rPr>
          <w:spacing w:val="-5"/>
          <w:sz w:val="18"/>
          <w:szCs w:val="18"/>
        </w:rPr>
        <w:t xml:space="preserve"> </w:t>
      </w:r>
      <w:r w:rsidRPr="00EB11D3">
        <w:rPr>
          <w:sz w:val="18"/>
          <w:szCs w:val="18"/>
        </w:rPr>
        <w:t>can</w:t>
      </w:r>
      <w:r w:rsidRPr="00EB11D3">
        <w:rPr>
          <w:spacing w:val="-2"/>
          <w:sz w:val="18"/>
          <w:szCs w:val="18"/>
        </w:rPr>
        <w:t xml:space="preserve"> </w:t>
      </w:r>
      <w:r w:rsidRPr="00EB11D3">
        <w:rPr>
          <w:sz w:val="18"/>
          <w:szCs w:val="18"/>
        </w:rPr>
        <w:t>be</w:t>
      </w:r>
      <w:r w:rsidRPr="00EB11D3">
        <w:rPr>
          <w:spacing w:val="1"/>
          <w:sz w:val="18"/>
          <w:szCs w:val="18"/>
        </w:rPr>
        <w:t xml:space="preserve"> </w:t>
      </w:r>
      <w:r w:rsidRPr="00EB11D3">
        <w:rPr>
          <w:sz w:val="18"/>
          <w:szCs w:val="18"/>
        </w:rPr>
        <w:t xml:space="preserve">found in the </w:t>
      </w:r>
      <w:hyperlink r:id="rId11" w:history="1">
        <w:r w:rsidRPr="00EB11D3">
          <w:rPr>
            <w:rStyle w:val="Hyperlink"/>
            <w:sz w:val="18"/>
            <w:szCs w:val="18"/>
          </w:rPr>
          <w:t>Handbook</w:t>
        </w:r>
      </w:hyperlink>
      <w:r w:rsidRPr="00EB11D3">
        <w:rPr>
          <w:rStyle w:val="Hyperlink"/>
          <w:sz w:val="18"/>
          <w:szCs w:val="18"/>
        </w:rPr>
        <w:t xml:space="preserve"> </w:t>
      </w:r>
    </w:p>
    <w:p w14:paraId="4A9739B4" w14:textId="77777777" w:rsidR="00EB11D3" w:rsidRPr="00EB11D3" w:rsidRDefault="00EB11D3" w:rsidP="00EB11D3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proofErr w:type="gramStart"/>
      <w:r w:rsidRPr="00EB11D3">
        <w:rPr>
          <w:sz w:val="18"/>
          <w:szCs w:val="18"/>
        </w:rPr>
        <w:t>Plan ahead</w:t>
      </w:r>
      <w:proofErr w:type="gramEnd"/>
      <w:r w:rsidRPr="00EB11D3">
        <w:rPr>
          <w:sz w:val="18"/>
          <w:szCs w:val="18"/>
        </w:rPr>
        <w:t>! Look at prerequisite requirements in the Handbook. For example: ACCT5633 requires prerequisite unit ACCT5432.</w:t>
      </w:r>
    </w:p>
    <w:p w14:paraId="268D878F" w14:textId="77777777" w:rsidR="00EB11D3" w:rsidRPr="00EB11D3" w:rsidRDefault="00EB11D3" w:rsidP="00EB11D3">
      <w:pPr>
        <w:rPr>
          <w:sz w:val="18"/>
          <w:szCs w:val="18"/>
        </w:rPr>
      </w:pPr>
    </w:p>
    <w:p w14:paraId="1E963246" w14:textId="77777777" w:rsidR="00EB11D3" w:rsidRPr="00EB11D3" w:rsidRDefault="00EB11D3" w:rsidP="00EB11D3">
      <w:pPr>
        <w:rPr>
          <w:b/>
          <w:bCs/>
          <w:sz w:val="18"/>
          <w:szCs w:val="18"/>
        </w:rPr>
      </w:pPr>
      <w:r w:rsidRPr="00EB11D3">
        <w:rPr>
          <w:b/>
          <w:bCs/>
          <w:sz w:val="18"/>
          <w:szCs w:val="18"/>
        </w:rPr>
        <w:t xml:space="preserve">Next Steps… </w:t>
      </w:r>
    </w:p>
    <w:p w14:paraId="3FF627CC" w14:textId="76AC73AE" w:rsidR="008C6531" w:rsidRPr="00EB11D3" w:rsidRDefault="00EB11D3" w:rsidP="00EB11D3">
      <w:pPr>
        <w:pStyle w:val="ListParagraph"/>
        <w:numPr>
          <w:ilvl w:val="0"/>
          <w:numId w:val="10"/>
        </w:numPr>
        <w:rPr>
          <w:b/>
          <w:bCs/>
          <w:sz w:val="18"/>
          <w:szCs w:val="18"/>
        </w:rPr>
      </w:pPr>
      <w:r w:rsidRPr="00EB11D3">
        <w:rPr>
          <w:sz w:val="18"/>
          <w:szCs w:val="18"/>
        </w:rPr>
        <w:t xml:space="preserve">Enroll on </w:t>
      </w:r>
      <w:hyperlink r:id="rId12" w:history="1">
        <w:r w:rsidRPr="00EB11D3">
          <w:rPr>
            <w:rStyle w:val="Hyperlink"/>
            <w:sz w:val="18"/>
            <w:szCs w:val="18"/>
          </w:rPr>
          <w:t>Student Connect</w:t>
        </w:r>
      </w:hyperlink>
      <w:r w:rsidRPr="00EB11D3">
        <w:rPr>
          <w:sz w:val="18"/>
          <w:szCs w:val="18"/>
        </w:rPr>
        <w:t xml:space="preserve"> and plan your timetable on the </w:t>
      </w:r>
      <w:hyperlink r:id="rId13" w:history="1">
        <w:r w:rsidRPr="00EB11D3">
          <w:rPr>
            <w:rStyle w:val="Hyperlink"/>
            <w:sz w:val="18"/>
            <w:szCs w:val="18"/>
          </w:rPr>
          <w:t>Class Allocation System (CAS)</w:t>
        </w:r>
      </w:hyperlink>
    </w:p>
    <w:sectPr w:rsidR="008C6531" w:rsidRPr="00EB11D3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16DB" w14:textId="77777777" w:rsidR="00EB11D3" w:rsidRDefault="00EB11D3">
      <w:r>
        <w:separator/>
      </w:r>
    </w:p>
  </w:endnote>
  <w:endnote w:type="continuationSeparator" w:id="0">
    <w:p w14:paraId="1BC9AE3B" w14:textId="77777777" w:rsidR="00EB11D3" w:rsidRDefault="00EB11D3">
      <w:r>
        <w:continuationSeparator/>
      </w:r>
    </w:p>
  </w:endnote>
  <w:endnote w:type="continuationNotice" w:id="1">
    <w:p w14:paraId="2E6B0F84" w14:textId="77777777" w:rsidR="00EB11D3" w:rsidRDefault="00EB1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8899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46213E08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04559AB1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409D" w14:textId="77777777" w:rsidR="00EB11D3" w:rsidRDefault="00EB11D3">
      <w:r>
        <w:separator/>
      </w:r>
    </w:p>
  </w:footnote>
  <w:footnote w:type="continuationSeparator" w:id="0">
    <w:p w14:paraId="6F2A59DE" w14:textId="77777777" w:rsidR="00EB11D3" w:rsidRDefault="00EB11D3">
      <w:r>
        <w:continuationSeparator/>
      </w:r>
    </w:p>
  </w:footnote>
  <w:footnote w:type="continuationNotice" w:id="1">
    <w:p w14:paraId="48D5D6E0" w14:textId="77777777" w:rsidR="00EB11D3" w:rsidRDefault="00EB1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0C39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B8486D4" wp14:editId="763522BE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6C67839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48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46C67839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82C7E9" wp14:editId="073C1D46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88023B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83BC200" wp14:editId="178E3CFD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E48F5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4801AAAE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3BC200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3DBE48F5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4801AAAE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063B"/>
    <w:multiLevelType w:val="hybridMultilevel"/>
    <w:tmpl w:val="7E7E3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7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8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9"/>
  </w:num>
  <w:num w:numId="5" w16cid:durableId="1460877942">
    <w:abstractNumId w:val="10"/>
  </w:num>
  <w:num w:numId="6" w16cid:durableId="828256945">
    <w:abstractNumId w:val="7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8"/>
  </w:num>
  <w:num w:numId="11" w16cid:durableId="102329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610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1176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22B3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1067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B47D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2A59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0134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16826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11D3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C354D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2006/documentManagement/types"/>
    <ds:schemaRef ds:uri="8aacef4b-15e4-400e-a38b-fd62a8cac48a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a2be4b7-5498-4157-9911-ddd69cf2a7a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DDECA-5B26-415D-87E4-C682092E7838}"/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2025-07-03T07:22:00Z</dcterms:created>
  <dcterms:modified xsi:type="dcterms:W3CDTF">2025-07-03T07:22:00Z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